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14</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15</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15</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16</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2</w:t>
      </w:r>
      <w:r>
        <w:rPr>
          <w:rFonts w:hint="eastAsia"/>
          <w:lang w:val="en-US" w:eastAsia="zh-CN"/>
        </w:rPr>
        <w:t>1</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t>2</w:t>
      </w:r>
      <w:r>
        <w:rPr>
          <w:rFonts w:hint="eastAsia"/>
          <w:lang w:val="en-US" w:eastAsia="zh-CN"/>
        </w:rPr>
        <w:t>2</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w:t>
      </w:r>
      <w:r>
        <w:rPr>
          <w:rFonts w:hint="eastAsia"/>
          <w:lang w:val="en-US" w:eastAsia="zh-CN"/>
        </w:rPr>
        <w:t>2</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2</w:t>
      </w:r>
      <w:r>
        <w:rPr>
          <w:rFonts w:hint="eastAsia"/>
          <w:lang w:val="en-US" w:eastAsia="zh-CN"/>
        </w:rPr>
        <w:t>3</w:t>
      </w:r>
      <w:r>
        <w:fldChar w:fldCharType="end"/>
      </w:r>
      <w:bookmarkStart w:id="1" w:name="_GoBack"/>
      <w:bookmarkEnd w:id="1"/>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二十八、霸州市霸州镇渔津洼中心小学收支预算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501502霸州市霸州镇渔津洼中心小学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279.36</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279.36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279.36</w:t>
            </w:r>
          </w:p>
        </w:tc>
        <w:tc>
          <w:tcPr>
            <w:tcW w:w="4535" w:type="dxa"/>
            <w:vAlign w:val="center"/>
          </w:tcPr>
          <w:p>
            <w:pPr>
              <w:pStyle w:val="24"/>
            </w:pPr>
            <w:r>
              <w:t>本年支出合计</w:t>
            </w:r>
          </w:p>
        </w:tc>
        <w:tc>
          <w:tcPr>
            <w:tcW w:w="2126" w:type="dxa"/>
            <w:vAlign w:val="center"/>
          </w:tcPr>
          <w:p>
            <w:pPr>
              <w:pStyle w:val="25"/>
            </w:pPr>
            <w:r>
              <w:t>279.36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279.36</w:t>
            </w:r>
          </w:p>
        </w:tc>
        <w:tc>
          <w:tcPr>
            <w:tcW w:w="4535" w:type="dxa"/>
            <w:vAlign w:val="center"/>
          </w:tcPr>
          <w:p>
            <w:pPr>
              <w:pStyle w:val="24"/>
            </w:pPr>
            <w:r>
              <w:t>支出总计</w:t>
            </w:r>
          </w:p>
        </w:tc>
        <w:tc>
          <w:tcPr>
            <w:tcW w:w="2126" w:type="dxa"/>
            <w:vAlign w:val="center"/>
          </w:tcPr>
          <w:p>
            <w:pPr>
              <w:pStyle w:val="25"/>
            </w:pPr>
            <w:r>
              <w:t>279.36</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501502霸州市霸州镇渔津洼中心小学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279.36</w:t>
            </w:r>
          </w:p>
        </w:tc>
        <w:tc>
          <w:tcPr>
            <w:tcW w:w="1134" w:type="dxa"/>
            <w:vAlign w:val="center"/>
          </w:tcPr>
          <w:p>
            <w:pPr>
              <w:pStyle w:val="25"/>
            </w:pPr>
            <w:r>
              <w:t>279.36</w:t>
            </w:r>
          </w:p>
        </w:tc>
        <w:tc>
          <w:tcPr>
            <w:tcW w:w="1134" w:type="dxa"/>
            <w:vAlign w:val="center"/>
          </w:tcPr>
          <w:p>
            <w:pPr>
              <w:pStyle w:val="25"/>
            </w:pPr>
            <w:r>
              <w:t>279.36</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279.36</w:t>
            </w:r>
          </w:p>
        </w:tc>
        <w:tc>
          <w:tcPr>
            <w:tcW w:w="1134" w:type="dxa"/>
            <w:vAlign w:val="center"/>
          </w:tcPr>
          <w:p>
            <w:pPr>
              <w:pStyle w:val="21"/>
            </w:pPr>
            <w:r>
              <w:t>279.36</w:t>
            </w:r>
          </w:p>
        </w:tc>
        <w:tc>
          <w:tcPr>
            <w:tcW w:w="1134" w:type="dxa"/>
            <w:vAlign w:val="center"/>
          </w:tcPr>
          <w:p>
            <w:pPr>
              <w:pStyle w:val="21"/>
            </w:pPr>
            <w:r>
              <w:t>279.36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279.36</w:t>
            </w:r>
          </w:p>
        </w:tc>
        <w:tc>
          <w:tcPr>
            <w:tcW w:w="1134" w:type="dxa"/>
            <w:vAlign w:val="center"/>
          </w:tcPr>
          <w:p>
            <w:pPr>
              <w:pStyle w:val="21"/>
            </w:pPr>
            <w:r>
              <w:t>279.36</w:t>
            </w:r>
          </w:p>
        </w:tc>
        <w:tc>
          <w:tcPr>
            <w:tcW w:w="1134" w:type="dxa"/>
            <w:vAlign w:val="center"/>
          </w:tcPr>
          <w:p>
            <w:pPr>
              <w:pStyle w:val="21"/>
            </w:pPr>
            <w:r>
              <w:t>279.36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12.32</w:t>
            </w:r>
          </w:p>
        </w:tc>
        <w:tc>
          <w:tcPr>
            <w:tcW w:w="1134" w:type="dxa"/>
            <w:vAlign w:val="center"/>
          </w:tcPr>
          <w:p>
            <w:pPr>
              <w:pStyle w:val="21"/>
            </w:pPr>
            <w:r>
              <w:t>12.32</w:t>
            </w:r>
          </w:p>
        </w:tc>
        <w:tc>
          <w:tcPr>
            <w:tcW w:w="1134" w:type="dxa"/>
            <w:vAlign w:val="center"/>
          </w:tcPr>
          <w:p>
            <w:pPr>
              <w:pStyle w:val="21"/>
            </w:pPr>
            <w:r>
              <w:t>12.32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267.04</w:t>
            </w:r>
          </w:p>
        </w:tc>
        <w:tc>
          <w:tcPr>
            <w:tcW w:w="1134" w:type="dxa"/>
            <w:vAlign w:val="center"/>
          </w:tcPr>
          <w:p>
            <w:pPr>
              <w:pStyle w:val="21"/>
            </w:pPr>
            <w:r>
              <w:t>267.04</w:t>
            </w:r>
          </w:p>
        </w:tc>
        <w:tc>
          <w:tcPr>
            <w:tcW w:w="1134" w:type="dxa"/>
            <w:vAlign w:val="center"/>
          </w:tcPr>
          <w:p>
            <w:pPr>
              <w:pStyle w:val="21"/>
            </w:pPr>
            <w:r>
              <w:t>267.04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501502霸州市霸州镇渔津洼中心小学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279.36</w:t>
            </w:r>
          </w:p>
        </w:tc>
        <w:tc>
          <w:tcPr>
            <w:tcW w:w="1361" w:type="dxa"/>
            <w:vAlign w:val="center"/>
          </w:tcPr>
          <w:p>
            <w:pPr>
              <w:pStyle w:val="25"/>
            </w:pPr>
            <w:r>
              <w:t>234.61</w:t>
            </w:r>
          </w:p>
        </w:tc>
        <w:tc>
          <w:tcPr>
            <w:tcW w:w="1361" w:type="dxa"/>
            <w:vAlign w:val="center"/>
          </w:tcPr>
          <w:p>
            <w:pPr>
              <w:pStyle w:val="25"/>
            </w:pPr>
            <w:r>
              <w:t>44.75</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279.36</w:t>
            </w:r>
          </w:p>
        </w:tc>
        <w:tc>
          <w:tcPr>
            <w:tcW w:w="1361" w:type="dxa"/>
            <w:vAlign w:val="center"/>
          </w:tcPr>
          <w:p>
            <w:pPr>
              <w:pStyle w:val="21"/>
            </w:pPr>
            <w:r>
              <w:t>234.61</w:t>
            </w:r>
          </w:p>
        </w:tc>
        <w:tc>
          <w:tcPr>
            <w:tcW w:w="1361" w:type="dxa"/>
            <w:vAlign w:val="center"/>
          </w:tcPr>
          <w:p>
            <w:pPr>
              <w:pStyle w:val="21"/>
            </w:pPr>
            <w:r>
              <w:t>44.75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279.36</w:t>
            </w:r>
          </w:p>
        </w:tc>
        <w:tc>
          <w:tcPr>
            <w:tcW w:w="1361" w:type="dxa"/>
            <w:vAlign w:val="center"/>
          </w:tcPr>
          <w:p>
            <w:pPr>
              <w:pStyle w:val="21"/>
            </w:pPr>
            <w:r>
              <w:t>234.61</w:t>
            </w:r>
          </w:p>
        </w:tc>
        <w:tc>
          <w:tcPr>
            <w:tcW w:w="1361" w:type="dxa"/>
            <w:vAlign w:val="center"/>
          </w:tcPr>
          <w:p>
            <w:pPr>
              <w:pStyle w:val="21"/>
            </w:pPr>
            <w:r>
              <w:t>44.75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12.32</w:t>
            </w:r>
          </w:p>
        </w:tc>
        <w:tc>
          <w:tcPr>
            <w:tcW w:w="1361" w:type="dxa"/>
            <w:vAlign w:val="center"/>
          </w:tcPr>
          <w:p>
            <w:pPr>
              <w:pStyle w:val="21"/>
            </w:pPr>
            <w:r>
              <w:t>1.12</w:t>
            </w:r>
          </w:p>
        </w:tc>
        <w:tc>
          <w:tcPr>
            <w:tcW w:w="1361" w:type="dxa"/>
            <w:vAlign w:val="center"/>
          </w:tcPr>
          <w:p>
            <w:pPr>
              <w:pStyle w:val="21"/>
            </w:pPr>
            <w:r>
              <w:t>11.20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267.04</w:t>
            </w:r>
          </w:p>
        </w:tc>
        <w:tc>
          <w:tcPr>
            <w:tcW w:w="1361" w:type="dxa"/>
            <w:vAlign w:val="center"/>
          </w:tcPr>
          <w:p>
            <w:pPr>
              <w:pStyle w:val="21"/>
            </w:pPr>
            <w:r>
              <w:t>233.49</w:t>
            </w:r>
          </w:p>
        </w:tc>
        <w:tc>
          <w:tcPr>
            <w:tcW w:w="1361" w:type="dxa"/>
            <w:vAlign w:val="center"/>
          </w:tcPr>
          <w:p>
            <w:pPr>
              <w:pStyle w:val="21"/>
            </w:pPr>
            <w:r>
              <w:t>33.55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501502霸州市霸州镇渔津洼中心小学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279.36</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279.36</w:t>
            </w:r>
          </w:p>
        </w:tc>
        <w:tc>
          <w:tcPr>
            <w:tcW w:w="1474" w:type="dxa"/>
            <w:vAlign w:val="center"/>
          </w:tcPr>
          <w:p>
            <w:pPr>
              <w:pStyle w:val="21"/>
            </w:pPr>
            <w:r>
              <w:t>279.36</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279.36</w:t>
            </w:r>
          </w:p>
        </w:tc>
        <w:tc>
          <w:tcPr>
            <w:tcW w:w="3402" w:type="dxa"/>
            <w:vAlign w:val="center"/>
          </w:tcPr>
          <w:p>
            <w:pPr>
              <w:pStyle w:val="24"/>
            </w:pPr>
            <w:r>
              <w:t>本年支出合计</w:t>
            </w:r>
          </w:p>
        </w:tc>
        <w:tc>
          <w:tcPr>
            <w:tcW w:w="1474" w:type="dxa"/>
            <w:vAlign w:val="center"/>
          </w:tcPr>
          <w:p>
            <w:pPr>
              <w:pStyle w:val="25"/>
            </w:pPr>
            <w:r>
              <w:t>279.36</w:t>
            </w:r>
          </w:p>
        </w:tc>
        <w:tc>
          <w:tcPr>
            <w:tcW w:w="1474" w:type="dxa"/>
            <w:vAlign w:val="center"/>
          </w:tcPr>
          <w:p>
            <w:pPr>
              <w:pStyle w:val="25"/>
            </w:pPr>
            <w:r>
              <w:t>279.36</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279.36</w:t>
            </w:r>
          </w:p>
        </w:tc>
        <w:tc>
          <w:tcPr>
            <w:tcW w:w="3402" w:type="dxa"/>
            <w:vAlign w:val="center"/>
          </w:tcPr>
          <w:p>
            <w:pPr>
              <w:pStyle w:val="24"/>
            </w:pPr>
            <w:r>
              <w:t>支出总计</w:t>
            </w:r>
          </w:p>
        </w:tc>
        <w:tc>
          <w:tcPr>
            <w:tcW w:w="1474" w:type="dxa"/>
            <w:vAlign w:val="center"/>
          </w:tcPr>
          <w:p>
            <w:pPr>
              <w:pStyle w:val="25"/>
            </w:pPr>
            <w:r>
              <w:t>279.36</w:t>
            </w:r>
          </w:p>
        </w:tc>
        <w:tc>
          <w:tcPr>
            <w:tcW w:w="1474" w:type="dxa"/>
            <w:vAlign w:val="center"/>
          </w:tcPr>
          <w:p>
            <w:pPr>
              <w:pStyle w:val="25"/>
            </w:pPr>
            <w:r>
              <w:t>279.36</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501502霸州市霸州镇渔津洼中心小学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279.36</w:t>
            </w:r>
          </w:p>
        </w:tc>
        <w:tc>
          <w:tcPr>
            <w:tcW w:w="2551" w:type="dxa"/>
            <w:vAlign w:val="center"/>
          </w:tcPr>
          <w:p>
            <w:pPr>
              <w:pStyle w:val="25"/>
            </w:pPr>
            <w:r>
              <w:t>234.61</w:t>
            </w:r>
          </w:p>
        </w:tc>
        <w:tc>
          <w:tcPr>
            <w:tcW w:w="2551" w:type="dxa"/>
            <w:vAlign w:val="center"/>
          </w:tcPr>
          <w:p>
            <w:pPr>
              <w:pStyle w:val="25"/>
            </w:pPr>
            <w:r>
              <w:t>44.75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279.36</w:t>
            </w:r>
          </w:p>
        </w:tc>
        <w:tc>
          <w:tcPr>
            <w:tcW w:w="2551" w:type="dxa"/>
            <w:vAlign w:val="center"/>
          </w:tcPr>
          <w:p>
            <w:pPr>
              <w:pStyle w:val="21"/>
            </w:pPr>
            <w:r>
              <w:t>234.61</w:t>
            </w:r>
          </w:p>
        </w:tc>
        <w:tc>
          <w:tcPr>
            <w:tcW w:w="2551" w:type="dxa"/>
            <w:vAlign w:val="center"/>
          </w:tcPr>
          <w:p>
            <w:pPr>
              <w:pStyle w:val="21"/>
            </w:pPr>
            <w:r>
              <w:t>44.75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279.36</w:t>
            </w:r>
          </w:p>
        </w:tc>
        <w:tc>
          <w:tcPr>
            <w:tcW w:w="2551" w:type="dxa"/>
            <w:vAlign w:val="center"/>
          </w:tcPr>
          <w:p>
            <w:pPr>
              <w:pStyle w:val="21"/>
            </w:pPr>
            <w:r>
              <w:t>234.61</w:t>
            </w:r>
          </w:p>
        </w:tc>
        <w:tc>
          <w:tcPr>
            <w:tcW w:w="2551" w:type="dxa"/>
            <w:vAlign w:val="center"/>
          </w:tcPr>
          <w:p>
            <w:pPr>
              <w:pStyle w:val="21"/>
            </w:pPr>
            <w:r>
              <w:t>44.75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12.32</w:t>
            </w:r>
          </w:p>
        </w:tc>
        <w:tc>
          <w:tcPr>
            <w:tcW w:w="2551" w:type="dxa"/>
            <w:vAlign w:val="center"/>
          </w:tcPr>
          <w:p>
            <w:pPr>
              <w:pStyle w:val="21"/>
            </w:pPr>
            <w:r>
              <w:t>1.12</w:t>
            </w:r>
          </w:p>
        </w:tc>
        <w:tc>
          <w:tcPr>
            <w:tcW w:w="2551" w:type="dxa"/>
            <w:vAlign w:val="center"/>
          </w:tcPr>
          <w:p>
            <w:pPr>
              <w:pStyle w:val="21"/>
            </w:pPr>
            <w:r>
              <w:t>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267.04</w:t>
            </w:r>
          </w:p>
        </w:tc>
        <w:tc>
          <w:tcPr>
            <w:tcW w:w="2551" w:type="dxa"/>
            <w:vAlign w:val="center"/>
          </w:tcPr>
          <w:p>
            <w:pPr>
              <w:pStyle w:val="21"/>
            </w:pPr>
            <w:r>
              <w:t>233.49</w:t>
            </w:r>
          </w:p>
        </w:tc>
        <w:tc>
          <w:tcPr>
            <w:tcW w:w="2551" w:type="dxa"/>
            <w:vAlign w:val="center"/>
          </w:tcPr>
          <w:p>
            <w:pPr>
              <w:pStyle w:val="21"/>
            </w:pPr>
            <w:r>
              <w:t>33.55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501502霸州市霸州镇渔津洼中心小学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234.61</w:t>
            </w:r>
          </w:p>
        </w:tc>
        <w:tc>
          <w:tcPr>
            <w:tcW w:w="2551" w:type="dxa"/>
            <w:vAlign w:val="center"/>
          </w:tcPr>
          <w:p>
            <w:pPr>
              <w:pStyle w:val="25"/>
            </w:pPr>
            <w:r>
              <w:t>230.60</w:t>
            </w:r>
          </w:p>
        </w:tc>
        <w:tc>
          <w:tcPr>
            <w:tcW w:w="2551" w:type="dxa"/>
            <w:vAlign w:val="center"/>
          </w:tcPr>
          <w:p>
            <w:pPr>
              <w:pStyle w:val="25"/>
            </w:pPr>
            <w:r>
              <w:t>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182.45</w:t>
            </w:r>
          </w:p>
        </w:tc>
        <w:tc>
          <w:tcPr>
            <w:tcW w:w="2551" w:type="dxa"/>
            <w:vAlign w:val="center"/>
          </w:tcPr>
          <w:p>
            <w:pPr>
              <w:pStyle w:val="21"/>
            </w:pPr>
            <w:r>
              <w:t>182.45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46.63</w:t>
            </w:r>
          </w:p>
        </w:tc>
        <w:tc>
          <w:tcPr>
            <w:tcW w:w="2551" w:type="dxa"/>
            <w:vAlign w:val="center"/>
          </w:tcPr>
          <w:p>
            <w:pPr>
              <w:pStyle w:val="21"/>
            </w:pPr>
            <w:r>
              <w:t>46.63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13.06</w:t>
            </w:r>
          </w:p>
        </w:tc>
        <w:tc>
          <w:tcPr>
            <w:tcW w:w="2551" w:type="dxa"/>
            <w:vAlign w:val="center"/>
          </w:tcPr>
          <w:p>
            <w:pPr>
              <w:pStyle w:val="21"/>
            </w:pPr>
            <w:r>
              <w:t>13.06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68.96</w:t>
            </w:r>
          </w:p>
        </w:tc>
        <w:tc>
          <w:tcPr>
            <w:tcW w:w="2551" w:type="dxa"/>
            <w:vAlign w:val="center"/>
          </w:tcPr>
          <w:p>
            <w:pPr>
              <w:pStyle w:val="21"/>
            </w:pPr>
            <w:r>
              <w:t>68.96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15.55</w:t>
            </w:r>
          </w:p>
        </w:tc>
        <w:tc>
          <w:tcPr>
            <w:tcW w:w="2551" w:type="dxa"/>
            <w:vAlign w:val="center"/>
          </w:tcPr>
          <w:p>
            <w:pPr>
              <w:pStyle w:val="21"/>
            </w:pPr>
            <w:r>
              <w:t>15.55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5.80</w:t>
            </w:r>
          </w:p>
        </w:tc>
        <w:tc>
          <w:tcPr>
            <w:tcW w:w="2551" w:type="dxa"/>
            <w:vAlign w:val="center"/>
          </w:tcPr>
          <w:p>
            <w:pPr>
              <w:pStyle w:val="21"/>
            </w:pPr>
            <w:r>
              <w:t>5.80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4.47</w:t>
            </w:r>
          </w:p>
        </w:tc>
        <w:tc>
          <w:tcPr>
            <w:tcW w:w="2551" w:type="dxa"/>
            <w:vAlign w:val="center"/>
          </w:tcPr>
          <w:p>
            <w:pPr>
              <w:pStyle w:val="21"/>
            </w:pPr>
            <w:r>
              <w:t>4.47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1.12</w:t>
            </w:r>
          </w:p>
        </w:tc>
        <w:tc>
          <w:tcPr>
            <w:tcW w:w="2551" w:type="dxa"/>
            <w:vAlign w:val="center"/>
          </w:tcPr>
          <w:p>
            <w:pPr>
              <w:pStyle w:val="21"/>
            </w:pPr>
            <w:r>
              <w:t>1.12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12.73</w:t>
            </w:r>
          </w:p>
        </w:tc>
        <w:tc>
          <w:tcPr>
            <w:tcW w:w="2551" w:type="dxa"/>
            <w:vAlign w:val="center"/>
          </w:tcPr>
          <w:p>
            <w:pPr>
              <w:pStyle w:val="21"/>
            </w:pPr>
            <w:r>
              <w:t>12.73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14.13</w:t>
            </w:r>
          </w:p>
        </w:tc>
        <w:tc>
          <w:tcPr>
            <w:tcW w:w="2551" w:type="dxa"/>
            <w:vAlign w:val="center"/>
          </w:tcPr>
          <w:p>
            <w:pPr>
              <w:pStyle w:val="21"/>
            </w:pPr>
            <w:r>
              <w:t>14.13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4.01</w:t>
            </w:r>
          </w:p>
        </w:tc>
        <w:tc>
          <w:tcPr>
            <w:tcW w:w="2551" w:type="dxa"/>
            <w:vAlign w:val="center"/>
          </w:tcPr>
          <w:p>
            <w:pPr>
              <w:pStyle w:val="21"/>
            </w:pPr>
          </w:p>
        </w:tc>
        <w:tc>
          <w:tcPr>
            <w:tcW w:w="2551" w:type="dxa"/>
            <w:vAlign w:val="center"/>
          </w:tcPr>
          <w:p>
            <w:pPr>
              <w:pStyle w:val="21"/>
            </w:pPr>
            <w:r>
              <w:t>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1.12</w:t>
            </w:r>
          </w:p>
        </w:tc>
        <w:tc>
          <w:tcPr>
            <w:tcW w:w="2551" w:type="dxa"/>
            <w:vAlign w:val="center"/>
          </w:tcPr>
          <w:p>
            <w:pPr>
              <w:pStyle w:val="21"/>
            </w:pPr>
          </w:p>
        </w:tc>
        <w:tc>
          <w:tcPr>
            <w:tcW w:w="2551" w:type="dxa"/>
            <w:vAlign w:val="center"/>
          </w:tcPr>
          <w:p>
            <w:pPr>
              <w:pStyle w:val="21"/>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1.70</w:t>
            </w:r>
          </w:p>
        </w:tc>
        <w:tc>
          <w:tcPr>
            <w:tcW w:w="2551" w:type="dxa"/>
            <w:vAlign w:val="center"/>
          </w:tcPr>
          <w:p>
            <w:pPr>
              <w:pStyle w:val="21"/>
            </w:pPr>
          </w:p>
        </w:tc>
        <w:tc>
          <w:tcPr>
            <w:tcW w:w="2551" w:type="dxa"/>
            <w:vAlign w:val="center"/>
          </w:tcPr>
          <w:p>
            <w:pPr>
              <w:pStyle w:val="21"/>
            </w:pPr>
            <w: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1.19</w:t>
            </w:r>
          </w:p>
        </w:tc>
        <w:tc>
          <w:tcPr>
            <w:tcW w:w="2551" w:type="dxa"/>
            <w:vAlign w:val="center"/>
          </w:tcPr>
          <w:p>
            <w:pPr>
              <w:pStyle w:val="21"/>
            </w:pPr>
          </w:p>
        </w:tc>
        <w:tc>
          <w:tcPr>
            <w:tcW w:w="2551" w:type="dxa"/>
            <w:vAlign w:val="center"/>
          </w:tcPr>
          <w:p>
            <w:pPr>
              <w:pStyle w:val="21"/>
            </w:pPr>
            <w:r>
              <w:t>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48.15</w:t>
            </w:r>
          </w:p>
        </w:tc>
        <w:tc>
          <w:tcPr>
            <w:tcW w:w="2551" w:type="dxa"/>
            <w:vAlign w:val="center"/>
          </w:tcPr>
          <w:p>
            <w:pPr>
              <w:pStyle w:val="21"/>
            </w:pPr>
            <w:r>
              <w:t>48.15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37.81</w:t>
            </w:r>
          </w:p>
        </w:tc>
        <w:tc>
          <w:tcPr>
            <w:tcW w:w="2551" w:type="dxa"/>
            <w:vAlign w:val="center"/>
          </w:tcPr>
          <w:p>
            <w:pPr>
              <w:pStyle w:val="21"/>
            </w:pPr>
            <w:r>
              <w:t>37.81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10.32</w:t>
            </w:r>
          </w:p>
        </w:tc>
        <w:tc>
          <w:tcPr>
            <w:tcW w:w="2551" w:type="dxa"/>
            <w:vAlign w:val="center"/>
          </w:tcPr>
          <w:p>
            <w:pPr>
              <w:pStyle w:val="21"/>
            </w:pPr>
            <w:r>
              <w:t>10.32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0.02</w:t>
            </w:r>
          </w:p>
        </w:tc>
        <w:tc>
          <w:tcPr>
            <w:tcW w:w="2551" w:type="dxa"/>
            <w:vAlign w:val="center"/>
          </w:tcPr>
          <w:p>
            <w:pPr>
              <w:pStyle w:val="21"/>
            </w:pPr>
            <w:r>
              <w:t>0.02</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501502霸州市霸州镇渔津洼中心小学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501502霸州市霸州镇渔津洼中心小学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501502霸州市霸州镇渔津洼中心小学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霸州市霸州镇渔津洼中心小学2023年单位预算信息公开情况说明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按照《预算法》、《地方预决算公开操作规程》和《关于进一步推进预算公开工作的实施意见》规定，现将霸州市霸州镇渔津洼中心小学2023年单位预算公开如下：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rPr>
          <w:rFonts w:asciiTheme="minorHAnsi" w:hAnsiTheme="minorHAnsi" w:cstheme="minorBidi"/>
          <w:color w:val="000000"/>
          <w:kern w:val="2"/>
          <w:szCs w:val="22"/>
          <w:lang w:val="uk-UA"/>
        </w:rPr>
      </w:pPr>
      <w:r>
        <w:rPr>
          <w:rFonts w:hint="eastAsia" w:asciiTheme="minorHAnsi" w:hAnsiTheme="minorHAnsi" w:cstheme="minorBidi"/>
          <w:color w:val="000000"/>
          <w:kern w:val="2"/>
          <w:szCs w:val="22"/>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霸州市霸州镇渔津洼中心小学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279.36</w:t>
      </w:r>
      <w:r>
        <w:rPr>
          <w:rFonts w:hint="eastAsia" w:ascii="方正仿宋_GBK"/>
        </w:rPr>
        <w:t>万元，其中：一般公共预算收入</w:t>
      </w:r>
      <w:r>
        <w:rPr>
          <w:rFonts w:ascii="方正仿宋_GBK"/>
        </w:rPr>
        <w:t>279.36</w:t>
      </w:r>
      <w:r>
        <w:rPr>
          <w:rFonts w:hint="eastAsia" w:ascii="方正仿宋_GBK"/>
        </w:rPr>
        <w:t>万元，基金预算收入</w:t>
      </w:r>
      <w:r>
        <w:rPr>
          <w:rFonts w:ascii="方正仿宋_GBK"/>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霸州镇渔津洼中心小学</w:t>
      </w:r>
      <w:r>
        <w:rPr>
          <w:rFonts w:hint="eastAsia" w:ascii="方正仿宋_GBK"/>
        </w:rPr>
        <w:t>2023年度单位预算中支出预算的总体情况。2023年支出预算</w:t>
      </w:r>
      <w:r>
        <w:rPr>
          <w:rFonts w:ascii="方正仿宋_GBK"/>
        </w:rPr>
        <w:t>279.36</w:t>
      </w:r>
      <w:r>
        <w:rPr>
          <w:rFonts w:hint="eastAsia" w:ascii="方正仿宋_GBK"/>
        </w:rPr>
        <w:t>万元，其中：基本支出</w:t>
      </w:r>
      <w:r>
        <w:rPr>
          <w:rFonts w:ascii="方正仿宋_GBK"/>
        </w:rPr>
        <w:t>234.61</w:t>
      </w:r>
      <w:r>
        <w:rPr>
          <w:rFonts w:hint="eastAsia" w:ascii="方正仿宋_GBK"/>
        </w:rPr>
        <w:t>万元，包括人员经费</w:t>
      </w:r>
      <w:r>
        <w:rPr>
          <w:rFonts w:ascii="方正仿宋_GBK"/>
        </w:rPr>
        <w:t>230.6</w:t>
      </w:r>
      <w:r>
        <w:rPr>
          <w:rFonts w:hint="eastAsia" w:ascii="方正仿宋_GBK"/>
        </w:rPr>
        <w:t>万元和日常公用经费</w:t>
      </w:r>
      <w:r>
        <w:rPr>
          <w:rFonts w:ascii="方正仿宋_GBK"/>
        </w:rPr>
        <w:t>4.01</w:t>
      </w:r>
      <w:r>
        <w:rPr>
          <w:rFonts w:hint="eastAsia" w:ascii="方正仿宋_GBK"/>
        </w:rPr>
        <w:t>万元；项目支出</w:t>
      </w:r>
      <w:r>
        <w:rPr>
          <w:rFonts w:ascii="方正仿宋_GBK"/>
        </w:rPr>
        <w:t>44.75</w:t>
      </w:r>
      <w:r>
        <w:rPr>
          <w:rFonts w:hint="eastAsia" w:ascii="方正仿宋_GBK"/>
        </w:rPr>
        <w:t>万元，主要为：</w:t>
      </w:r>
      <w:bookmarkStart w:id="0" w:name="_Hlk128343632"/>
      <w:r>
        <w:rPr>
          <w:rFonts w:ascii="方正仿宋_GBK"/>
        </w:rPr>
        <w:t>城乡义务教育补助生均公用经费本级配套资金</w:t>
      </w:r>
      <w:r>
        <w:rPr>
          <w:rFonts w:ascii="方正仿宋_GBK" w:eastAsiaTheme="minorEastAsia"/>
          <w:lang w:eastAsia="zh-CN"/>
        </w:rPr>
        <w:t>0.74</w:t>
      </w:r>
      <w:r>
        <w:rPr>
          <w:rFonts w:hint="eastAsia" w:ascii="方正仿宋_GBK"/>
        </w:rPr>
        <w:t>万元、</w:t>
      </w:r>
      <w:r>
        <w:rPr>
          <w:rFonts w:ascii="方正仿宋_GBK"/>
        </w:rPr>
        <w:t>关于提前下达2023年城乡义务教育省级补助资金预算的通知(公用经费)(冀财教[2022]162号)5.3</w:t>
      </w:r>
      <w:r>
        <w:rPr>
          <w:rFonts w:hint="eastAsia" w:ascii="方正仿宋_GBK"/>
        </w:rPr>
        <w:t>万元、</w:t>
      </w:r>
      <w:r>
        <w:rPr>
          <w:rFonts w:ascii="方正仿宋_GBK"/>
        </w:rPr>
        <w:t>关于提前下达2023年城乡义务教育中央补助经费预算的通知(公用经费)(冀财教[2022]179号)13</w:t>
      </w:r>
      <w:r>
        <w:rPr>
          <w:rFonts w:hint="eastAsia" w:ascii="方正仿宋_GBK"/>
        </w:rPr>
        <w:t>万元，幼儿保教经费</w:t>
      </w:r>
      <w:r>
        <w:rPr>
          <w:rFonts w:ascii="方正仿宋_GBK"/>
        </w:rPr>
        <w:t>11.2</w:t>
      </w:r>
      <w:r>
        <w:rPr>
          <w:rFonts w:hint="eastAsia" w:ascii="方正仿宋_GBK"/>
        </w:rPr>
        <w:t>万元</w:t>
      </w:r>
      <w:r>
        <w:rPr>
          <w:rFonts w:hint="eastAsia" w:asciiTheme="minorEastAsia" w:hAnsiTheme="minorEastAsia" w:eastAsiaTheme="minorEastAsia"/>
          <w:lang w:eastAsia="zh-CN"/>
        </w:rPr>
        <w:t>、</w:t>
      </w:r>
      <w:r>
        <w:rPr>
          <w:rFonts w:ascii="方正仿宋_GBK"/>
        </w:rPr>
        <w:t>返聘教师经费</w:t>
      </w:r>
      <w:r>
        <w:rPr>
          <w:rFonts w:hint="eastAsia" w:ascii="方正仿宋_GBK"/>
        </w:rPr>
        <w:t>1</w:t>
      </w:r>
      <w:r>
        <w:rPr>
          <w:rFonts w:ascii="方正仿宋_GBK"/>
        </w:rPr>
        <w:t>4.51</w:t>
      </w:r>
      <w:r>
        <w:rPr>
          <w:rFonts w:hint="eastAsia" w:ascii="方正仿宋_GBK"/>
        </w:rPr>
        <w:t>万元。</w:t>
      </w:r>
    </w:p>
    <w:bookmarkEnd w:id="0"/>
    <w:p>
      <w:pPr>
        <w:pStyle w:val="36"/>
        <w:jc w:val="both"/>
        <w:rPr>
          <w:rFonts w:ascii="方正仿宋_GBK"/>
        </w:rPr>
      </w:pPr>
      <w:r>
        <w:rPr>
          <w:rFonts w:hint="eastAsia" w:ascii="方正仿宋_GBK"/>
        </w:rPr>
        <w:t>3、比上年增减情况</w:t>
      </w:r>
    </w:p>
    <w:p>
      <w:pPr>
        <w:pStyle w:val="36"/>
        <w:jc w:val="both"/>
        <w:rPr>
          <w:rFonts w:ascii="方正仿宋_GBK"/>
        </w:rPr>
      </w:pPr>
      <w:r>
        <w:rPr>
          <w:rFonts w:hint="eastAsia" w:ascii="方正仿宋_GBK"/>
        </w:rPr>
        <w:t>2023年预算收支安排</w:t>
      </w:r>
      <w:r>
        <w:rPr>
          <w:rFonts w:ascii="方正仿宋_GBK"/>
        </w:rPr>
        <w:t>279.36</w:t>
      </w:r>
      <w:r>
        <w:rPr>
          <w:rFonts w:hint="eastAsia" w:ascii="方正仿宋_GBK"/>
        </w:rPr>
        <w:t>万元，较2022年预算增加</w:t>
      </w:r>
      <w:r>
        <w:rPr>
          <w:rFonts w:hint="eastAsia" w:ascii="方正仿宋_GBK"/>
          <w:lang w:eastAsia="zh-CN"/>
        </w:rPr>
        <w:t>4</w:t>
      </w:r>
      <w:r>
        <w:rPr>
          <w:rFonts w:ascii="方正仿宋_GBK"/>
          <w:lang w:eastAsia="zh-CN"/>
        </w:rPr>
        <w:t>1.5</w:t>
      </w:r>
      <w:r>
        <w:rPr>
          <w:rFonts w:hint="eastAsia" w:ascii="方正仿宋_GBK"/>
        </w:rPr>
        <w:t>万元，其中：基本支出增加</w:t>
      </w:r>
      <w:r>
        <w:rPr>
          <w:rFonts w:hint="eastAsia" w:ascii="方正仿宋_GBK"/>
          <w:lang w:eastAsia="zh-CN"/>
        </w:rPr>
        <w:t>2</w:t>
      </w:r>
      <w:r>
        <w:rPr>
          <w:rFonts w:ascii="方正仿宋_GBK"/>
          <w:lang w:eastAsia="zh-CN"/>
        </w:rPr>
        <w:t>3.16</w:t>
      </w:r>
      <w:r>
        <w:rPr>
          <w:rFonts w:hint="eastAsia" w:ascii="方正仿宋_GBK"/>
        </w:rPr>
        <w:t>万元，主要为</w:t>
      </w:r>
      <w:r>
        <w:rPr>
          <w:rFonts w:hint="eastAsia" w:ascii="方正仿宋_GBK"/>
          <w:lang w:eastAsia="zh-CN"/>
        </w:rPr>
        <w:t>人员经费</w:t>
      </w:r>
      <w:r>
        <w:rPr>
          <w:rFonts w:hint="eastAsia" w:ascii="方正仿宋_GBK"/>
        </w:rPr>
        <w:t>支出；项目支出减少</w:t>
      </w:r>
      <w:r>
        <w:rPr>
          <w:rFonts w:hint="eastAsia" w:ascii="方正仿宋_GBK"/>
          <w:lang w:eastAsia="zh-CN"/>
        </w:rPr>
        <w:t>1</w:t>
      </w:r>
      <w:r>
        <w:rPr>
          <w:rFonts w:ascii="方正仿宋_GBK"/>
          <w:lang w:eastAsia="zh-CN"/>
        </w:rPr>
        <w:t>8.34</w:t>
      </w:r>
      <w:r>
        <w:rPr>
          <w:rFonts w:hint="eastAsia" w:ascii="方正仿宋_GBK"/>
        </w:rPr>
        <w:t>万元，主要为</w:t>
      </w:r>
      <w:r>
        <w:rPr>
          <w:rFonts w:hint="eastAsia" w:ascii="方正仿宋_GBK"/>
          <w:lang w:eastAsia="zh-CN"/>
        </w:rPr>
        <w:t>减少</w:t>
      </w:r>
      <w:r>
        <w:rPr>
          <w:rFonts w:ascii="方正仿宋_GBK"/>
        </w:rPr>
        <w:t>关于提前下达2023年城乡义务教育省级补助资金预算的通知(公用经费)(冀财教[2022]162号)0.98</w:t>
      </w:r>
      <w:r>
        <w:rPr>
          <w:rFonts w:hint="eastAsia" w:ascii="方正仿宋_GBK"/>
        </w:rPr>
        <w:t>万元、</w:t>
      </w:r>
      <w:r>
        <w:rPr>
          <w:rFonts w:ascii="方正仿宋_GBK"/>
        </w:rPr>
        <w:t>关于提前下达2023年城乡义务教育中央补助经费预算的通知(公用经费)(冀财教[2022]179号)1</w:t>
      </w:r>
      <w:r>
        <w:rPr>
          <w:rFonts w:hint="eastAsia" w:ascii="方正仿宋_GBK"/>
        </w:rPr>
        <w:t>万元，</w:t>
      </w:r>
      <w:r>
        <w:rPr>
          <w:rFonts w:hint="eastAsia" w:ascii="方正仿宋_GBK"/>
          <w:lang w:eastAsia="zh-CN"/>
        </w:rPr>
        <w:t>增加</w:t>
      </w:r>
      <w:r>
        <w:rPr>
          <w:rFonts w:ascii="方正仿宋_GBK"/>
        </w:rPr>
        <w:t>城乡义务教育补助生均公用经费本级配套资金</w:t>
      </w:r>
      <w:r>
        <w:rPr>
          <w:rFonts w:ascii="方正仿宋_GBK" w:eastAsiaTheme="minorEastAsia"/>
          <w:lang w:eastAsia="zh-CN"/>
        </w:rPr>
        <w:t>0.21</w:t>
      </w:r>
      <w:r>
        <w:rPr>
          <w:rFonts w:hint="eastAsia" w:ascii="方正仿宋_GBK"/>
        </w:rPr>
        <w:t>万元、幼儿保教经费</w:t>
      </w:r>
      <w:r>
        <w:rPr>
          <w:rFonts w:ascii="方正仿宋_GBK"/>
        </w:rPr>
        <w:t>5.6</w:t>
      </w:r>
      <w:r>
        <w:rPr>
          <w:rFonts w:hint="eastAsia" w:ascii="方正仿宋_GBK"/>
        </w:rPr>
        <w:t>万元</w:t>
      </w:r>
      <w:r>
        <w:rPr>
          <w:rFonts w:hint="eastAsia" w:asciiTheme="minorEastAsia" w:hAnsiTheme="minorEastAsia" w:eastAsiaTheme="minorEastAsia"/>
          <w:lang w:eastAsia="zh-CN"/>
        </w:rPr>
        <w:t>、</w:t>
      </w:r>
      <w:r>
        <w:rPr>
          <w:rFonts w:ascii="方正仿宋_GBK"/>
        </w:rPr>
        <w:t>返聘教师经费</w:t>
      </w:r>
      <w:r>
        <w:rPr>
          <w:rFonts w:hint="eastAsia" w:ascii="方正仿宋_GBK"/>
        </w:rPr>
        <w:t>1</w:t>
      </w:r>
      <w:r>
        <w:rPr>
          <w:rFonts w:ascii="方正仿宋_GBK"/>
        </w:rPr>
        <w:t>4.51</w:t>
      </w:r>
      <w:r>
        <w:rPr>
          <w:rFonts w:hint="eastAsia" w:ascii="方正仿宋_GBK"/>
        </w:rPr>
        <w:t>万元项目支出。</w:t>
      </w:r>
    </w:p>
    <w:p>
      <w:pPr>
        <w:spacing w:before="10" w:after="10"/>
        <w:ind w:firstLine="640" w:firstLineChars="200"/>
        <w:outlineLvl w:val="5"/>
        <w:rPr>
          <w:lang w:val="uk-UA"/>
        </w:rPr>
      </w:pPr>
      <w:r>
        <w:rPr>
          <w:rFonts w:ascii="黑体" w:hAnsi="黑体" w:eastAsia="黑体" w:cs="黑体"/>
          <w:color w:val="000000"/>
          <w:sz w:val="32"/>
        </w:rPr>
        <w:t>三、机关运行经费安排情况</w:t>
      </w:r>
    </w:p>
    <w:p>
      <w:pPr>
        <w:pStyle w:val="37"/>
        <w:ind w:left="520" w:leftChars="100" w:hanging="280" w:hangingChars="100"/>
        <w:rPr>
          <w:rFonts w:ascii="方正仿宋_GBK"/>
          <w:lang w:val="uk-UA"/>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ascii="方正仿宋_GBK"/>
        </w:rPr>
        <w:t>4.01</w:t>
      </w:r>
      <w:r>
        <w:rPr>
          <w:rFonts w:hint="eastAsia" w:ascii="方正仿宋_GBK"/>
        </w:rPr>
        <w:t>万元，主要用于</w:t>
      </w:r>
      <w:r>
        <w:rPr>
          <w:rFonts w:hint="eastAsia" w:ascii="方正仿宋_GBK"/>
          <w:lang w:eastAsia="zh-CN"/>
        </w:rPr>
        <w:t>办公区的办公费、工会经费</w:t>
      </w:r>
      <w:r>
        <w:rPr>
          <w:rFonts w:hint="eastAsia" w:asciiTheme="minorHAnsi" w:hAnsiTheme="minorHAnsi"/>
          <w:lang w:val="uk-UA" w:eastAsia="zh-CN"/>
        </w:rPr>
        <w:t>、福利费</w:t>
      </w:r>
      <w:r>
        <w:rPr>
          <w:rFonts w:hint="eastAsia" w:ascii="方正仿宋_GBK"/>
        </w:rPr>
        <w:t>等日常运行支出。</w:t>
      </w:r>
    </w:p>
    <w:p>
      <w:pPr>
        <w:pStyle w:val="37"/>
        <w:ind w:left="480" w:leftChars="200" w:firstLine="320" w:firstLineChars="100"/>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≥259人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教学工作完成率</w:t>
            </w:r>
          </w:p>
        </w:tc>
        <w:tc>
          <w:tcPr>
            <w:tcW w:w="2835" w:type="dxa"/>
            <w:vAlign w:val="center"/>
          </w:tcPr>
          <w:p>
            <w:pPr>
              <w:pStyle w:val="22"/>
            </w:pPr>
            <w:r>
              <w:t>教学工作完成率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10月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≤14.51万元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≥259人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≥259人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≥80人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≤11.2万元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2023年，霸州市霸州镇渔津洼中心小学安排政府采购预算0.55万元。具体内容见下表。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501502霸州市霸州镇渔津洼中心小学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0.55</w:t>
            </w:r>
          </w:p>
        </w:tc>
        <w:tc>
          <w:tcPr>
            <w:tcW w:w="964" w:type="dxa"/>
            <w:vAlign w:val="center"/>
          </w:tcPr>
          <w:p>
            <w:pPr>
              <w:pStyle w:val="25"/>
            </w:pPr>
            <w:r>
              <w:t>0.55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霸州市霸州镇渔津洼中心小学小计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0.55</w:t>
            </w:r>
          </w:p>
        </w:tc>
        <w:tc>
          <w:tcPr>
            <w:tcW w:w="964" w:type="dxa"/>
            <w:vAlign w:val="center"/>
          </w:tcPr>
          <w:p>
            <w:pPr>
              <w:pStyle w:val="25"/>
            </w:pPr>
            <w:r>
              <w:t>0.55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13.00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1台</w:t>
            </w:r>
          </w:p>
        </w:tc>
        <w:tc>
          <w:tcPr>
            <w:tcW w:w="850" w:type="dxa"/>
            <w:vAlign w:val="center"/>
          </w:tcPr>
          <w:p>
            <w:pPr>
              <w:pStyle w:val="21"/>
            </w:pPr>
            <w:r>
              <w:t>1</w:t>
            </w:r>
          </w:p>
        </w:tc>
        <w:tc>
          <w:tcPr>
            <w:tcW w:w="850" w:type="dxa"/>
            <w:vAlign w:val="center"/>
          </w:tcPr>
          <w:p>
            <w:pPr>
              <w:pStyle w:val="21"/>
            </w:pPr>
            <w:r>
              <w:t>0.55</w:t>
            </w:r>
          </w:p>
        </w:tc>
        <w:tc>
          <w:tcPr>
            <w:tcW w:w="964" w:type="dxa"/>
            <w:vAlign w:val="center"/>
          </w:tcPr>
          <w:p>
            <w:pPr>
              <w:pStyle w:val="21"/>
            </w:pPr>
            <w:r>
              <w:t>0.55</w:t>
            </w:r>
          </w:p>
        </w:tc>
        <w:tc>
          <w:tcPr>
            <w:tcW w:w="964" w:type="dxa"/>
            <w:vAlign w:val="center"/>
          </w:tcPr>
          <w:p>
            <w:pPr>
              <w:pStyle w:val="21"/>
            </w:pPr>
            <w:r>
              <w:t>0.55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0.55</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rPr>
          <w:lang w:val="uk-UA"/>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霸州市霸州镇渔津洼中心小学上年末固定资产金额为987.26万元（详见下表）。本年度拟购置固定资产总额为0.55万元，已按要求列入政府采购预算，详见政府采购预算表。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49"/>
        <w:gridCol w:w="2903"/>
        <w:gridCol w:w="29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blHeader/>
          <w:jc w:val="center"/>
        </w:trPr>
        <w:tc>
          <w:tcPr>
            <w:tcW w:w="7549" w:type="dxa"/>
            <w:tcBorders>
              <w:top w:val="single" w:color="FFFFFF" w:sz="6" w:space="0"/>
              <w:left w:val="single" w:color="FFFFFF" w:sz="6" w:space="0"/>
              <w:right w:val="single" w:color="FFFFFF" w:sz="6" w:space="0"/>
            </w:tcBorders>
            <w:vAlign w:val="center"/>
          </w:tcPr>
          <w:p>
            <w:pPr>
              <w:pStyle w:val="19"/>
            </w:pPr>
            <w:r>
              <w:t>501502霸州市霸州镇渔津洼中心小学</w:t>
            </w:r>
          </w:p>
        </w:tc>
        <w:tc>
          <w:tcPr>
            <w:tcW w:w="5808"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blHeader/>
          <w:jc w:val="center"/>
        </w:trPr>
        <w:tc>
          <w:tcPr>
            <w:tcW w:w="7549" w:type="dxa"/>
            <w:vAlign w:val="center"/>
          </w:tcPr>
          <w:p>
            <w:pPr>
              <w:pStyle w:val="20"/>
            </w:pPr>
            <w:r>
              <w:t>项   目</w:t>
            </w:r>
          </w:p>
        </w:tc>
        <w:tc>
          <w:tcPr>
            <w:tcW w:w="2903" w:type="dxa"/>
            <w:vAlign w:val="center"/>
          </w:tcPr>
          <w:p>
            <w:pPr>
              <w:pStyle w:val="20"/>
            </w:pPr>
            <w:r>
              <w:t>数量</w:t>
            </w:r>
          </w:p>
        </w:tc>
        <w:tc>
          <w:tcPr>
            <w:tcW w:w="290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549"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资产总额</w:t>
            </w:r>
          </w:p>
        </w:tc>
        <w:tc>
          <w:tcPr>
            <w:tcW w:w="2903"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w:t>
            </w:r>
          </w:p>
        </w:tc>
        <w:tc>
          <w:tcPr>
            <w:tcW w:w="2905" w:type="dxa"/>
            <w:vAlign w:val="center"/>
          </w:tcPr>
          <w:p>
            <w:pPr>
              <w:jc w:val="center"/>
              <w:rPr>
                <w:rFonts w:ascii="方正书宋_GBK" w:hAnsi="方正书宋_GBK" w:eastAsia="方正书宋_GBK" w:cs="方正书宋_GBK"/>
              </w:rPr>
            </w:pPr>
            <w:r>
              <w:rPr>
                <w:rFonts w:ascii="方正书宋_GBK" w:hAnsi="方正书宋_GBK" w:eastAsia="方正书宋_GBK" w:cs="方正书宋_GBK"/>
                <w:sz w:val="21"/>
                <w:lang w:eastAsia="zh-CN"/>
              </w:rPr>
              <w:t>987</w:t>
            </w:r>
            <w:r>
              <w:rPr>
                <w:rFonts w:hint="eastAsia" w:ascii="方正书宋_GBK" w:hAnsi="方正书宋_GBK" w:eastAsia="方正书宋_GBK" w:cs="方正书宋_GBK"/>
                <w:sz w:val="21"/>
                <w:lang w:eastAsia="zh-CN"/>
              </w:rPr>
              <w:t>.56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549"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1、房屋（平方米）</w:t>
            </w:r>
          </w:p>
        </w:tc>
        <w:tc>
          <w:tcPr>
            <w:tcW w:w="2903"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3306</w:t>
            </w:r>
          </w:p>
        </w:tc>
        <w:tc>
          <w:tcPr>
            <w:tcW w:w="2905"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549"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 xml:space="preserve">   其中：办公用房（平方米）</w:t>
            </w:r>
          </w:p>
        </w:tc>
        <w:tc>
          <w:tcPr>
            <w:tcW w:w="2903"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200</w:t>
            </w:r>
          </w:p>
        </w:tc>
        <w:tc>
          <w:tcPr>
            <w:tcW w:w="2905"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41.26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549"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2、车辆（台、辆）</w:t>
            </w:r>
          </w:p>
        </w:tc>
        <w:tc>
          <w:tcPr>
            <w:tcW w:w="2903"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c>
          <w:tcPr>
            <w:tcW w:w="2905"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549"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3、单价在20万元以上的设备</w:t>
            </w:r>
          </w:p>
        </w:tc>
        <w:tc>
          <w:tcPr>
            <w:tcW w:w="2903"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c>
          <w:tcPr>
            <w:tcW w:w="2905"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549"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4、其他固定资产</w:t>
            </w:r>
          </w:p>
        </w:tc>
        <w:tc>
          <w:tcPr>
            <w:tcW w:w="2903"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176</w:t>
            </w:r>
            <w:r>
              <w:rPr>
                <w:rFonts w:ascii="方正书宋_GBK" w:hAnsi="方正书宋_GBK" w:eastAsia="方正书宋_GBK" w:cs="方正书宋_GBK"/>
                <w:sz w:val="21"/>
                <w:lang w:eastAsia="zh-CN"/>
              </w:rPr>
              <w:t>59</w:t>
            </w:r>
          </w:p>
        </w:tc>
        <w:tc>
          <w:tcPr>
            <w:tcW w:w="2905" w:type="dxa"/>
            <w:vAlign w:val="center"/>
          </w:tcPr>
          <w:p>
            <w:pPr>
              <w:jc w:val="center"/>
              <w:rPr>
                <w:rFonts w:ascii="方正书宋_GBK" w:hAnsi="方正书宋_GBK" w:eastAsia="方正书宋_GBK" w:cs="方正书宋_GBK"/>
              </w:rPr>
            </w:pPr>
            <w:r>
              <w:rPr>
                <w:rFonts w:ascii="方正书宋_GBK" w:hAnsi="方正书宋_GBK" w:eastAsia="方正书宋_GBK" w:cs="方正书宋_GBK"/>
                <w:sz w:val="21"/>
                <w:lang w:eastAsia="zh-CN"/>
              </w:rPr>
              <w:t>305.26</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roman"/>
    <w:pitch w:val="default"/>
    <w:sig w:usb0="00000001" w:usb1="080E0000" w:usb2="00000000" w:usb3="00000000" w:csb0="00040000" w:csb1="00000000"/>
  </w:font>
  <w:font w:name="方正小标宋_GBK">
    <w:altName w:val="微软雅黑"/>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84120d8b-06c4-4c8d-909d-20a3edd38a67"/>
  </w:docVars>
  <w:rsids>
    <w:rsidRoot w:val="004A1168"/>
    <w:rsid w:val="00012A57"/>
    <w:rsid w:val="00037C49"/>
    <w:rsid w:val="000B7353"/>
    <w:rsid w:val="00136014"/>
    <w:rsid w:val="001F67F8"/>
    <w:rsid w:val="002F010E"/>
    <w:rsid w:val="003A5231"/>
    <w:rsid w:val="003D654A"/>
    <w:rsid w:val="00443178"/>
    <w:rsid w:val="00464BFB"/>
    <w:rsid w:val="004A1168"/>
    <w:rsid w:val="005153CA"/>
    <w:rsid w:val="005B7AFC"/>
    <w:rsid w:val="005F0311"/>
    <w:rsid w:val="006D6C4D"/>
    <w:rsid w:val="006F70C6"/>
    <w:rsid w:val="00972810"/>
    <w:rsid w:val="00991EB1"/>
    <w:rsid w:val="009B55A2"/>
    <w:rsid w:val="00A80758"/>
    <w:rsid w:val="00A9064A"/>
    <w:rsid w:val="00A915A7"/>
    <w:rsid w:val="00AA1FB3"/>
    <w:rsid w:val="00AD578B"/>
    <w:rsid w:val="00AE5F97"/>
    <w:rsid w:val="00B6757F"/>
    <w:rsid w:val="00BB35A7"/>
    <w:rsid w:val="00C4302B"/>
    <w:rsid w:val="00C57197"/>
    <w:rsid w:val="00C672B5"/>
    <w:rsid w:val="00CC7E62"/>
    <w:rsid w:val="00D513F4"/>
    <w:rsid w:val="00D64AD2"/>
    <w:rsid w:val="00D93167"/>
    <w:rsid w:val="00D9444E"/>
    <w:rsid w:val="00E20116"/>
    <w:rsid w:val="00E3061C"/>
    <w:rsid w:val="00EF51BF"/>
    <w:rsid w:val="00F60A10"/>
    <w:rsid w:val="00FC209C"/>
    <w:rsid w:val="463A7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6288</Words>
  <Characters>7370</Characters>
  <Lines>71</Lines>
  <Paragraphs>20</Paragraphs>
  <TotalTime>23</TotalTime>
  <ScaleCrop>false</ScaleCrop>
  <LinksUpToDate>false</LinksUpToDate>
  <CharactersWithSpaces>7537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2023-02-28T08:35:34Z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CE95A0296F3B47EFBA326F9D4FBAD793</vt:lpwstr>
  </property>
</Properties>
</file>